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cs="黑体"/>
          <w:sz w:val="32"/>
          <w:szCs w:val="32"/>
        </w:rPr>
        <w:t>不动产估价委托合同</w:t>
      </w:r>
    </w:p>
    <w:p>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rPr>
        <w:t>2</w:t>
      </w:r>
      <w:r>
        <w:rPr>
          <w:rFonts w:ascii="黑体" w:hAnsi="宋体" w:eastAsia="黑体" w:cs="黑体"/>
        </w:rPr>
        <w:t xml:space="preserve">  ]    </w:t>
      </w:r>
      <w:r>
        <w:rPr>
          <w:rFonts w:hint="eastAsia" w:ascii="黑体" w:hAnsi="宋体" w:eastAsia="黑体" w:cs="黑体"/>
        </w:rPr>
        <w:t>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北京市昌平区保障房建设投资管理有限公司</w:t>
      </w:r>
      <w:r>
        <w:rPr>
          <w:rFonts w:ascii="宋体" w:hAnsi="宋体" w:cs="宋体"/>
          <w:b/>
          <w:bCs/>
          <w:sz w:val="24"/>
          <w:szCs w:val="24"/>
          <w:u w:val="single"/>
        </w:rPr>
        <w:t xml:space="preserve">         </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rPr>
        <w:t>北京市昌平区沟自头街3号院三区1号楼1层1单元102号等176套共有产权住房同地段、同品质普通商品住房市场价格评估</w:t>
      </w:r>
      <w:r>
        <w:rPr>
          <w:rFonts w:ascii="宋体" w:hAnsi="宋体" w:cs="宋体"/>
          <w:b/>
          <w:bCs/>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b/>
          <w:bCs/>
          <w:sz w:val="24"/>
          <w:szCs w:val="24"/>
          <w:u w:val="single"/>
        </w:rPr>
        <w:t>在共有产权住房销售前，对共有产权住房项目同地段、同品质普通商品住房的市场价格评估，为确定共有产权份额提供参考依据。</w:t>
      </w:r>
      <w:r>
        <w:rPr>
          <w:rFonts w:ascii="宋体" w:hAnsi="宋体" w:cs="宋体"/>
          <w:b/>
          <w:bCs/>
          <w:sz w:val="24"/>
          <w:szCs w:val="24"/>
          <w:u w:val="single"/>
        </w:rPr>
        <w:t xml:space="preserve">    </w:t>
      </w:r>
    </w:p>
    <w:p>
      <w:pPr>
        <w:pStyle w:val="12"/>
        <w:spacing w:before="62" w:beforeLines="20" w:after="62" w:afterLines="20" w:line="480" w:lineRule="auto"/>
        <w:ind w:firstLine="482" w:firstLineChars="200"/>
        <w:rPr>
          <w:rFonts w:cs="Times New Roman"/>
        </w:rPr>
      </w:pPr>
      <w:r>
        <w:rPr>
          <w:rFonts w:hint="eastAsia"/>
        </w:rPr>
        <w:t>三、估价对象和估价范围：</w:t>
      </w:r>
      <w:r>
        <w:rPr>
          <w:rFonts w:hint="eastAsia"/>
          <w:u w:val="single"/>
        </w:rPr>
        <w:t>北京市昌平区沟自头街3号院三区1号楼1层1单元102号等176套共有产权住房</w:t>
      </w:r>
      <w:r>
        <w:rPr>
          <w:u w:val="single"/>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hint="eastAsia" w:ascii="宋体" w:hAnsi="宋体" w:cs="宋体"/>
          <w:b/>
          <w:bCs/>
          <w:sz w:val="24"/>
          <w:szCs w:val="24"/>
          <w:u w:val="single"/>
        </w:rPr>
        <w:t>2022年7月28日</w:t>
      </w:r>
      <w:r>
        <w:rPr>
          <w:rFonts w:ascii="宋体" w:hAnsi="宋体" w:cs="宋体"/>
          <w:b/>
          <w:bCs/>
          <w:sz w:val="24"/>
          <w:szCs w:val="24"/>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五、价值类型：</w:t>
      </w:r>
      <w:r>
        <w:rPr>
          <w:rFonts w:ascii="宋体" w:hAnsi="宋体" w:cs="宋体"/>
          <w:b/>
          <w:bCs/>
          <w:sz w:val="24"/>
          <w:szCs w:val="24"/>
          <w:u w:val="single"/>
        </w:rPr>
        <w:t xml:space="preserve">  </w:t>
      </w:r>
      <w:r>
        <w:rPr>
          <w:rFonts w:hint="eastAsia" w:ascii="宋体" w:hAnsi="宋体" w:cs="宋体"/>
          <w:b/>
          <w:bCs/>
          <w:sz w:val="24"/>
          <w:szCs w:val="24"/>
          <w:u w:val="single"/>
        </w:rPr>
        <w:t>市场价值</w:t>
      </w:r>
      <w:r>
        <w:rPr>
          <w:rFonts w:ascii="宋体" w:hAnsi="宋体" w:cs="宋体"/>
          <w:b/>
          <w:bCs/>
          <w:sz w:val="24"/>
          <w:szCs w:val="24"/>
          <w:u w:val="single"/>
        </w:rPr>
        <w:t xml:space="preserve">  </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在正常情况下，乙方收到上述应提供的全部资料后，组织评估专业人员在十个工作日内完成甲方委托的评估工作，并向甲方提交《不动产评估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tabs>
          <w:tab w:val="left" w:pos="720"/>
        </w:tabs>
        <w:spacing w:before="62" w:beforeLines="20" w:after="62" w:afterLines="20" w:line="360" w:lineRule="auto"/>
        <w:ind w:firstLine="480" w:firstLineChars="200"/>
        <w:rPr>
          <w:rFonts w:ascii="宋体" w:cs="宋体"/>
          <w:sz w:val="24"/>
          <w:szCs w:val="24"/>
          <w:u w:val="single"/>
        </w:rPr>
      </w:pPr>
      <w:r>
        <w:rPr>
          <w:rFonts w:ascii="宋体" w:hAnsi="宋体" w:cs="宋体"/>
          <w:sz w:val="24"/>
          <w:szCs w:val="24"/>
        </w:rPr>
        <w:t>1.</w:t>
      </w:r>
      <w:r>
        <w:rPr>
          <w:sz w:val="24"/>
          <w:szCs w:val="24"/>
        </w:rPr>
        <w:t xml:space="preserve"> </w:t>
      </w:r>
      <w:r>
        <w:rPr>
          <w:rFonts w:hint="eastAsia" w:ascii="宋体" w:hAnsi="宋体" w:cs="宋体"/>
          <w:sz w:val="24"/>
          <w:szCs w:val="24"/>
        </w:rPr>
        <w:t>参考原国家计委、建设部发布的《国家计委、建设部关于房地产中介服务收费的通知》（计价格第</w:t>
      </w:r>
      <w:r>
        <w:rPr>
          <w:rFonts w:ascii="宋体" w:hAnsi="宋体" w:cs="宋体"/>
          <w:sz w:val="24"/>
          <w:szCs w:val="24"/>
        </w:rPr>
        <w:t>971</w:t>
      </w:r>
      <w:r>
        <w:rPr>
          <w:rFonts w:hint="eastAsia" w:ascii="宋体" w:hAnsi="宋体" w:cs="宋体"/>
          <w:sz w:val="24"/>
          <w:szCs w:val="24"/>
        </w:rPr>
        <w:t>号）相关规定、此次评估的特定目的及本项目评估工作的繁简程度，甲乙双方协商本次估价服务费合计为人民币</w:t>
      </w:r>
      <w:r>
        <w:rPr>
          <w:rFonts w:hint="eastAsia" w:ascii="宋体" w:hAnsi="宋体" w:cs="宋体"/>
          <w:sz w:val="24"/>
          <w:szCs w:val="24"/>
          <w:u w:val="single"/>
        </w:rPr>
        <w:t>叁</w:t>
      </w:r>
      <w:r>
        <w:rPr>
          <w:rFonts w:hint="eastAsia" w:ascii="宋体" w:hAnsi="宋体" w:cs="宋体"/>
          <w:sz w:val="24"/>
          <w:szCs w:val="24"/>
        </w:rPr>
        <w:t>万元。差旅费用（包括乙方人员往来估价对象不动产所在地），由</w:t>
      </w:r>
      <w:r>
        <w:rPr>
          <w:rFonts w:hint="eastAsia" w:ascii="宋体" w:hAnsi="宋体" w:cs="宋体"/>
          <w:sz w:val="24"/>
          <w:szCs w:val="24"/>
          <w:u w:val="single"/>
        </w:rPr>
        <w:t>乙方</w:t>
      </w:r>
      <w:r>
        <w:rPr>
          <w:rFonts w:hint="eastAsia" w:ascii="宋体" w:hAnsi="宋体" w:cs="宋体"/>
          <w:sz w:val="24"/>
          <w:szCs w:val="24"/>
        </w:rPr>
        <w:t>自行承担，乙方工作人员在估价对象不动产所在地食宿、交通、必要的办公场所通讯费用由</w:t>
      </w:r>
      <w:r>
        <w:rPr>
          <w:rFonts w:hint="eastAsia" w:ascii="宋体" w:hAnsi="宋体" w:cs="宋体"/>
          <w:sz w:val="24"/>
          <w:szCs w:val="24"/>
          <w:u w:val="single"/>
        </w:rPr>
        <w:t>乙方</w:t>
      </w:r>
      <w:r>
        <w:rPr>
          <w:rFonts w:hint="eastAsia" w:ascii="宋体" w:hAnsi="宋体" w:cs="宋体"/>
          <w:sz w:val="24"/>
          <w:szCs w:val="24"/>
        </w:rPr>
        <w:t>自行承担。</w:t>
      </w:r>
    </w:p>
    <w:p>
      <w:pPr>
        <w:tabs>
          <w:tab w:val="left" w:pos="720"/>
        </w:tabs>
        <w:spacing w:before="62" w:beforeLines="20" w:after="62" w:afterLines="20"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支付方式：本合同经双方签章后并由乙方提交正式《不动产评估报告书》时，甲方支付给乙方</w:t>
      </w:r>
      <w:r>
        <w:rPr>
          <w:rFonts w:hint="eastAsia" w:ascii="宋体" w:hAnsi="宋体" w:cs="宋体"/>
          <w:sz w:val="24"/>
          <w:szCs w:val="24"/>
          <w:u w:val="single"/>
        </w:rPr>
        <w:t>叁</w:t>
      </w:r>
      <w:r>
        <w:rPr>
          <w:rFonts w:hint="eastAsia" w:ascii="宋体" w:hAnsi="宋体" w:cs="宋体"/>
          <w:sz w:val="24"/>
          <w:szCs w:val="24"/>
        </w:rPr>
        <w:t>万元。乙方须向甲方提交付款申请和开具等额的正式增值税专用发票。</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3.如本合同因甲方原因而中止，甲方应按照乙方完成的工作量支付乙方相应的评估服务费。</w:t>
      </w:r>
    </w:p>
    <w:p>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.甲方开票信息如下</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户    名：北京市昌平保障房建设投资管理有限公司</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纳税人识别号：91110114085465105E</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开 户 行：中国银行昌平东环路支行</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开户账号：320761814815</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地    址：北京市昌平区科技园区超前路9号3栋2503室</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电    话：60748922</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5.乙方账号如下：</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纳税人识别号：91110106722616974K</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开户银行：交通银行北京和平里支行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w:t>
      </w:r>
      <w:r>
        <w:rPr>
          <w:rFonts w:ascii="宋体" w:hAnsi="宋体" w:cs="宋体"/>
          <w:sz w:val="24"/>
          <w:szCs w:val="24"/>
        </w:rPr>
        <w:t>110060739012015026873</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行号：交224</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地    址：北京市丰台区芳城园一区16号楼2层2门配套公建01</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电    话：82253558</w:t>
      </w: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甲方自接到乙方提交的《不动产评估报告书》之日起五个工作日内，如对估价结果产生异议，且理由正当，可书面向乙方提出复估或重估申请。</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w:t>
      </w:r>
      <w:r>
        <w:rPr>
          <w:rFonts w:hint="eastAsia" w:ascii="宋体" w:hAnsi="宋体" w:cs="宋体"/>
          <w:sz w:val="24"/>
          <w:szCs w:val="24"/>
        </w:rPr>
        <w:t>《不动产评估报告书》</w:t>
      </w:r>
      <w:r>
        <w:rPr>
          <w:rFonts w:hint="eastAsia" w:ascii="宋体"/>
          <w:sz w:val="24"/>
          <w:szCs w:val="24"/>
        </w:rPr>
        <w:t>。</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乙方应独立、客观、公正从事估价业务；认真执行法律和行政法规，对出具《不动产评估报告书》承担相应的法律责任。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如适用，乙方应对甲方复估或重估书面申请后十个工作日内完成估价对象的复估或重估报告书，交付甲方。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九、评估意见函的使用者及使用范围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履行本合同出具的《不动产评估报告书》的使用者为：甲方及法律法规规定的使用者。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《不动产评估报告书》仅供甲方及法律法规规定的使用者按本合同约定的估价目的使用，乙方对上述报告使用者不当使用《不动产评估报告书》所造成的后果不承担责任。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如无法律法规规定，甲方未征得乙方事先书面同意，不得摘抄、引用或者披露《不动产评估报告书》的内容于任何公开媒体之上。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如无法律法规规定，乙方未经甲方事先书面，不得将《不动产评估报告书》的内容向第三方提供或者公开。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甲方如未按上述条款规定的日期向乙方提供具备真实性、完整性和合法性要求的估价所必需资料，甲方应承担相应的法律责任，乙方可按甲方耽误的时间顺延《不动产评估报告书》的交付时间。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，或定金不予退还，上述两者之中取其高者。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3.甲方如未按上述条款规定的时间向乙方支付估价服务费，以甲方应付款项为基数，从逾期之日起，每逾期一日，甲方向乙方支付应付款项的万分之六作为违约金。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4.乙方如无正当理由，逾期交付《不动产评估报告书》，每逾期一日，乙方向甲方支付估价服务费的万分之六作为违约金。</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凡因本合同或与本合同有关的一切争议，甲、乙双方应友好协商解决；协商不成的，任何一方均有权向自己住所地人民法院提起诉讼，接受第一立案法院管辖。</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ascii="宋体" w:hAnsi="宋体" w:cs="宋体"/>
          <w:sz w:val="24"/>
          <w:szCs w:val="24"/>
          <w:u w:val="single"/>
        </w:rPr>
        <w:t xml:space="preserve"> </w:t>
      </w:r>
      <w:r>
        <w:rPr>
          <w:rFonts w:hint="eastAsia" w:ascii="宋体" w:hAnsi="宋体" w:cs="宋体"/>
          <w:sz w:val="24"/>
          <w:szCs w:val="24"/>
          <w:u w:val="single"/>
        </w:rPr>
        <w:t>4</w:t>
      </w:r>
      <w:r>
        <w:rPr>
          <w:rFonts w:ascii="宋体" w:hAnsi="宋体" w:cs="宋体"/>
          <w:sz w:val="24"/>
          <w:szCs w:val="24"/>
          <w:u w:val="single"/>
        </w:rPr>
        <w:t xml:space="preserve"> </w:t>
      </w:r>
      <w:r>
        <w:rPr>
          <w:rFonts w:hint="eastAsia" w:ascii="宋体" w:hAnsi="宋体" w:cs="宋体"/>
          <w:sz w:val="24"/>
          <w:szCs w:val="24"/>
        </w:rPr>
        <w:t>份，甲方持</w:t>
      </w:r>
      <w:r>
        <w:rPr>
          <w:rFonts w:ascii="宋体" w:hAnsi="宋体" w:cs="宋体"/>
          <w:sz w:val="24"/>
          <w:szCs w:val="24"/>
          <w:u w:val="single"/>
        </w:rPr>
        <w:t xml:space="preserve">  </w:t>
      </w:r>
      <w:r>
        <w:rPr>
          <w:rFonts w:hint="eastAsia" w:ascii="宋体" w:hAnsi="宋体" w:cs="宋体"/>
          <w:sz w:val="24"/>
          <w:szCs w:val="24"/>
          <w:u w:val="single"/>
        </w:rPr>
        <w:t>2</w:t>
      </w:r>
      <w:r>
        <w:rPr>
          <w:rFonts w:ascii="宋体" w:hAnsi="宋体" w:cs="宋体"/>
          <w:sz w:val="24"/>
          <w:szCs w:val="24"/>
          <w:u w:val="single"/>
        </w:rPr>
        <w:t xml:space="preserve">  </w:t>
      </w:r>
      <w:r>
        <w:rPr>
          <w:rFonts w:hint="eastAsia" w:ascii="宋体" w:hAnsi="宋体" w:cs="宋体"/>
          <w:sz w:val="24"/>
          <w:szCs w:val="24"/>
        </w:rPr>
        <w:t>份，乙方持</w:t>
      </w:r>
      <w:r>
        <w:rPr>
          <w:rFonts w:ascii="宋体" w:hAnsi="宋体" w:cs="宋体"/>
          <w:sz w:val="24"/>
          <w:szCs w:val="24"/>
          <w:u w:val="single"/>
        </w:rPr>
        <w:t xml:space="preserve">  </w:t>
      </w:r>
      <w:r>
        <w:rPr>
          <w:rFonts w:hint="eastAsia" w:ascii="宋体" w:hAnsi="宋体" w:cs="宋体"/>
          <w:sz w:val="24"/>
          <w:szCs w:val="24"/>
          <w:u w:val="single"/>
        </w:rPr>
        <w:t>2</w:t>
      </w:r>
      <w:r>
        <w:rPr>
          <w:rFonts w:ascii="宋体" w:hAnsi="宋体" w:cs="宋体"/>
          <w:sz w:val="24"/>
          <w:szCs w:val="24"/>
          <w:u w:val="single"/>
        </w:rPr>
        <w:t xml:space="preserve">  </w:t>
      </w:r>
      <w:r>
        <w:rPr>
          <w:rFonts w:hint="eastAsia" w:ascii="宋体" w:hAnsi="宋体" w:cs="宋体"/>
          <w:sz w:val="24"/>
          <w:szCs w:val="24"/>
        </w:rPr>
        <w:t>份。</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rPr>
          <w:sz w:val="24"/>
          <w:szCs w:val="24"/>
        </w:rPr>
      </w:pPr>
    </w:p>
    <w:p>
      <w:pPr>
        <w:ind w:right="105" w:firstLine="496"/>
        <w:rPr>
          <w:sz w:val="24"/>
          <w:szCs w:val="24"/>
        </w:rPr>
      </w:pPr>
      <w:bookmarkStart w:id="0" w:name="_GoBack"/>
      <w:bookmarkEnd w:id="0"/>
    </w:p>
    <w:p>
      <w:pPr>
        <w:ind w:right="105" w:firstLine="496"/>
        <w:rPr>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联系地址：</w:t>
      </w:r>
      <w:r>
        <w:rPr>
          <w:sz w:val="24"/>
          <w:szCs w:val="24"/>
        </w:rPr>
        <w:t xml:space="preserve">                      </w:t>
      </w:r>
    </w:p>
    <w:p>
      <w:pPr>
        <w:spacing w:line="480" w:lineRule="auto"/>
        <w:ind w:right="108" w:firstLine="493"/>
        <w:rPr>
          <w:sz w:val="24"/>
          <w:szCs w:val="24"/>
        </w:rPr>
      </w:pPr>
      <w:r>
        <w:rPr>
          <w:rFonts w:hint="eastAsia" w:cs="宋体"/>
          <w:sz w:val="24"/>
          <w:szCs w:val="24"/>
        </w:rPr>
        <w:t>电话：</w:t>
      </w:r>
      <w:r>
        <w:rPr>
          <w:sz w:val="24"/>
          <w:szCs w:val="24"/>
        </w:rPr>
        <w:t xml:space="preserve">                          </w:t>
      </w:r>
    </w:p>
    <w:p>
      <w:pPr>
        <w:spacing w:line="480" w:lineRule="auto"/>
        <w:ind w:right="108" w:firstLine="493"/>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pPr>
        <w:spacing w:line="480" w:lineRule="auto"/>
        <w:ind w:right="108" w:firstLine="493"/>
        <w:rPr>
          <w:sz w:val="24"/>
          <w:szCs w:val="24"/>
        </w:rPr>
      </w:pPr>
    </w:p>
    <w:p>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联系地址：</w:t>
      </w:r>
    </w:p>
    <w:p>
      <w:pPr>
        <w:spacing w:line="480" w:lineRule="auto"/>
        <w:ind w:right="108" w:firstLine="493"/>
        <w:rPr>
          <w:sz w:val="24"/>
          <w:szCs w:val="24"/>
        </w:rPr>
      </w:pPr>
      <w:r>
        <w:rPr>
          <w:rFonts w:hint="eastAsia" w:cs="宋体"/>
          <w:sz w:val="24"/>
          <w:szCs w:val="24"/>
        </w:rPr>
        <w:t>电话：</w:t>
      </w:r>
    </w:p>
    <w:p>
      <w:pPr>
        <w:spacing w:line="480" w:lineRule="auto"/>
        <w:ind w:right="108" w:firstLine="493"/>
        <w:rPr>
          <w:sz w:val="24"/>
          <w:szCs w:val="24"/>
        </w:rPr>
      </w:pPr>
      <w:r>
        <w:rPr>
          <w:sz w:val="24"/>
          <w:szCs w:val="24"/>
        </w:rPr>
        <w:t xml:space="preserve">       </w:t>
      </w:r>
      <w:r>
        <w:rPr>
          <w:rFonts w:hint="eastAsia"/>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1570D8"/>
    <w:rsid w:val="00031004"/>
    <w:rsid w:val="000366A2"/>
    <w:rsid w:val="0009219B"/>
    <w:rsid w:val="00095788"/>
    <w:rsid w:val="000A1092"/>
    <w:rsid w:val="001118EA"/>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81035"/>
    <w:rsid w:val="006926F5"/>
    <w:rsid w:val="00781AB2"/>
    <w:rsid w:val="007A2139"/>
    <w:rsid w:val="007D0891"/>
    <w:rsid w:val="007D2EC2"/>
    <w:rsid w:val="00834F20"/>
    <w:rsid w:val="008B00A9"/>
    <w:rsid w:val="008D16D7"/>
    <w:rsid w:val="008D4FDE"/>
    <w:rsid w:val="008E11D1"/>
    <w:rsid w:val="009117F5"/>
    <w:rsid w:val="00A22AF2"/>
    <w:rsid w:val="00A500BC"/>
    <w:rsid w:val="00A70DF1"/>
    <w:rsid w:val="00A7312D"/>
    <w:rsid w:val="00B21F76"/>
    <w:rsid w:val="00B656EF"/>
    <w:rsid w:val="00B7192D"/>
    <w:rsid w:val="00C13A31"/>
    <w:rsid w:val="00C21946"/>
    <w:rsid w:val="00C30D76"/>
    <w:rsid w:val="00C81EF0"/>
    <w:rsid w:val="00C84E2D"/>
    <w:rsid w:val="00CB09B2"/>
    <w:rsid w:val="00D818CD"/>
    <w:rsid w:val="00E3211C"/>
    <w:rsid w:val="00E91D45"/>
    <w:rsid w:val="00EB48DF"/>
    <w:rsid w:val="00EC0CFD"/>
    <w:rsid w:val="00F3596D"/>
    <w:rsid w:val="00FC4782"/>
    <w:rsid w:val="00FD0271"/>
    <w:rsid w:val="00FE49CB"/>
    <w:rsid w:val="00FF584C"/>
    <w:rsid w:val="32EA1C09"/>
    <w:rsid w:val="5BFA77E9"/>
    <w:rsid w:val="67E30371"/>
    <w:rsid w:val="7A5B6D24"/>
    <w:rsid w:val="7D3B24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iPriority w:val="99"/>
    <w:pPr>
      <w:jc w:val="left"/>
    </w:pPr>
    <w:rPr>
      <w:rFonts w:eastAsia="仿宋_GB2312"/>
      <w:sz w:val="30"/>
      <w:szCs w:val="30"/>
    </w:rPr>
  </w:style>
  <w:style w:type="paragraph" w:styleId="4">
    <w:name w:val="Body Text"/>
    <w:basedOn w:val="1"/>
    <w:link w:val="21"/>
    <w:uiPriority w:val="99"/>
    <w:pPr>
      <w:spacing w:before="120" w:after="120" w:line="400" w:lineRule="exact"/>
    </w:pPr>
    <w:rPr>
      <w:rFonts w:eastAsia="仿宋_GB2312"/>
      <w:sz w:val="24"/>
      <w:szCs w:val="24"/>
    </w:rPr>
  </w:style>
  <w:style w:type="paragraph" w:styleId="5">
    <w:name w:val="Body Text Indent"/>
    <w:basedOn w:val="1"/>
    <w:link w:val="20"/>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7"/>
    <w:semiHidden/>
    <w:unhideWhenUsed/>
    <w:uiPriority w:val="99"/>
    <w:rPr>
      <w:sz w:val="18"/>
      <w:szCs w:val="18"/>
    </w:rPr>
  </w:style>
  <w:style w:type="paragraph" w:styleId="8">
    <w:name w:val="footer"/>
    <w:basedOn w:val="1"/>
    <w:link w:val="25"/>
    <w:uiPriority w:val="99"/>
    <w:pPr>
      <w:tabs>
        <w:tab w:val="center" w:pos="4153"/>
        <w:tab w:val="right" w:pos="8306"/>
      </w:tabs>
      <w:snapToGrid w:val="0"/>
      <w:jc w:val="left"/>
    </w:pPr>
    <w:rPr>
      <w:sz w:val="18"/>
      <w:szCs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11">
    <w:name w:val="toc 2"/>
    <w:basedOn w:val="1"/>
    <w:next w:val="1"/>
    <w:semiHidden/>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2"/>
    <w:uiPriority w:val="99"/>
    <w:pPr>
      <w:spacing w:before="120" w:after="120" w:line="400" w:lineRule="exact"/>
    </w:pPr>
    <w:rPr>
      <w:rFonts w:ascii="宋体" w:hAnsi="宋体" w:cs="宋体"/>
      <w:b/>
      <w:bCs/>
      <w:sz w:val="24"/>
      <w:szCs w:val="24"/>
    </w:rPr>
  </w:style>
  <w:style w:type="paragraph" w:styleId="13">
    <w:name w:val="annotation subject"/>
    <w:basedOn w:val="3"/>
    <w:next w:val="3"/>
    <w:link w:val="26"/>
    <w:semiHidden/>
    <w:unhideWhenUsed/>
    <w:uiPriority w:val="99"/>
    <w:rPr>
      <w:rFonts w:eastAsia="宋体"/>
      <w:b/>
      <w:bCs/>
      <w:sz w:val="21"/>
      <w:szCs w:val="21"/>
    </w:rPr>
  </w:style>
  <w:style w:type="character" w:styleId="16">
    <w:name w:val="annotation reference"/>
    <w:semiHidden/>
    <w:unhideWhenUsed/>
    <w:uiPriority w:val="99"/>
    <w:rPr>
      <w:sz w:val="21"/>
      <w:szCs w:val="21"/>
    </w:rPr>
  </w:style>
  <w:style w:type="character" w:customStyle="1" w:styleId="17">
    <w:name w:val="标题 1 Char"/>
    <w:link w:val="2"/>
    <w:locked/>
    <w:uiPriority w:val="99"/>
    <w:rPr>
      <w:b/>
      <w:bCs/>
      <w:kern w:val="44"/>
      <w:sz w:val="44"/>
      <w:szCs w:val="44"/>
    </w:rPr>
  </w:style>
  <w:style w:type="paragraph" w:styleId="18">
    <w:name w:val="List Paragraph"/>
    <w:basedOn w:val="1"/>
    <w:qFormat/>
    <w:uiPriority w:val="99"/>
    <w:pPr>
      <w:widowControl/>
      <w:ind w:right="50" w:rightChars="50" w:firstLine="420" w:firstLineChars="200"/>
    </w:pPr>
    <w:rPr>
      <w:rFonts w:ascii="Calibri" w:hAnsi="Calibri" w:cs="Calibri"/>
    </w:rPr>
  </w:style>
  <w:style w:type="paragraph" w:customStyle="1" w:styleId="19">
    <w:name w:val="TOC 标题1"/>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0">
    <w:name w:val="正文文本缩进 Char"/>
    <w:link w:val="5"/>
    <w:locked/>
    <w:uiPriority w:val="99"/>
    <w:rPr>
      <w:rFonts w:ascii="Times New Roman" w:hAnsi="Times New Roman" w:eastAsia="仿宋_GB2312" w:cs="Times New Roman"/>
      <w:sz w:val="20"/>
      <w:szCs w:val="20"/>
    </w:rPr>
  </w:style>
  <w:style w:type="character" w:customStyle="1" w:styleId="21">
    <w:name w:val="正文文本 Char"/>
    <w:link w:val="4"/>
    <w:locked/>
    <w:uiPriority w:val="99"/>
    <w:rPr>
      <w:rFonts w:ascii="Times New Roman" w:hAnsi="Times New Roman" w:eastAsia="仿宋_GB2312" w:cs="Times New Roman"/>
      <w:sz w:val="20"/>
      <w:szCs w:val="20"/>
    </w:rPr>
  </w:style>
  <w:style w:type="character" w:customStyle="1" w:styleId="22">
    <w:name w:val="正文文本 2 Char"/>
    <w:link w:val="12"/>
    <w:locked/>
    <w:uiPriority w:val="99"/>
    <w:rPr>
      <w:rFonts w:ascii="宋体" w:hAnsi="宋体" w:eastAsia="宋体" w:cs="宋体"/>
      <w:b/>
      <w:bCs/>
      <w:sz w:val="20"/>
      <w:szCs w:val="20"/>
    </w:rPr>
  </w:style>
  <w:style w:type="character" w:customStyle="1" w:styleId="23">
    <w:name w:val="批注文字 Char"/>
    <w:link w:val="3"/>
    <w:semiHidden/>
    <w:locked/>
    <w:uiPriority w:val="99"/>
    <w:rPr>
      <w:rFonts w:ascii="Times New Roman" w:hAnsi="Times New Roman" w:eastAsia="仿宋_GB2312" w:cs="Times New Roman"/>
      <w:sz w:val="30"/>
      <w:szCs w:val="30"/>
    </w:rPr>
  </w:style>
  <w:style w:type="character" w:customStyle="1" w:styleId="24">
    <w:name w:val="页眉 Char"/>
    <w:link w:val="9"/>
    <w:semiHidden/>
    <w:locked/>
    <w:uiPriority w:val="99"/>
    <w:rPr>
      <w:rFonts w:ascii="Times New Roman" w:hAnsi="Times New Roman" w:eastAsia="宋体" w:cs="Times New Roman"/>
      <w:sz w:val="18"/>
      <w:szCs w:val="18"/>
    </w:rPr>
  </w:style>
  <w:style w:type="character" w:customStyle="1" w:styleId="25">
    <w:name w:val="页脚 Char"/>
    <w:link w:val="8"/>
    <w:locked/>
    <w:uiPriority w:val="99"/>
    <w:rPr>
      <w:rFonts w:ascii="Times New Roman" w:hAnsi="Times New Roman" w:eastAsia="宋体" w:cs="Times New Roman"/>
      <w:sz w:val="18"/>
      <w:szCs w:val="18"/>
    </w:rPr>
  </w:style>
  <w:style w:type="character" w:customStyle="1" w:styleId="26">
    <w:name w:val="批注主题 Char"/>
    <w:link w:val="13"/>
    <w:semiHidden/>
    <w:uiPriority w:val="99"/>
    <w:rPr>
      <w:rFonts w:ascii="Times New Roman" w:hAnsi="Times New Roman" w:eastAsia="仿宋_GB2312" w:cs="Times New Roman"/>
      <w:b/>
      <w:bCs/>
      <w:kern w:val="2"/>
      <w:sz w:val="21"/>
      <w:szCs w:val="21"/>
    </w:rPr>
  </w:style>
  <w:style w:type="character" w:customStyle="1" w:styleId="27">
    <w:name w:val="批注框文本 Char"/>
    <w:link w:val="7"/>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500</Words>
  <Characters>2852</Characters>
  <Lines>23</Lines>
  <Paragraphs>6</Paragraphs>
  <TotalTime>44</TotalTime>
  <ScaleCrop>false</ScaleCrop>
  <LinksUpToDate>false</LinksUpToDate>
  <CharactersWithSpaces>3346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2021-03-24T07:48:00Z</dcterms:created>
  <dc:creator>topvaluer</dc:creator>
  <cp:lastModifiedBy>俊然</cp:lastModifiedBy>
  <cp:lastPrinted>2016-12-07T02:30:00Z</cp:lastPrinted>
  <dcterms:modified xsi:type="dcterms:W3CDTF">2022-08-18T02:26:14Z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765E5350DC5D40B1882FF79FBD77BF6D</vt:lpwstr>
  </property>
</Properties>
</file>